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93" w:rsidRPr="002F22E9" w:rsidRDefault="00D74193">
      <w:pPr>
        <w:spacing w:line="312" w:lineRule="auto"/>
        <w:jc w:val="center"/>
        <w:rPr>
          <w:b/>
          <w:sz w:val="28"/>
        </w:rPr>
      </w:pPr>
      <w:r w:rsidRPr="002F22E9">
        <w:rPr>
          <w:b/>
          <w:sz w:val="28"/>
        </w:rPr>
        <w:t xml:space="preserve">ТЕМА </w:t>
      </w:r>
      <w:r w:rsidR="002F22E9" w:rsidRPr="002F22E9">
        <w:rPr>
          <w:b/>
          <w:sz w:val="28"/>
        </w:rPr>
        <w:t>7</w:t>
      </w:r>
      <w:r w:rsidRPr="002F22E9">
        <w:rPr>
          <w:b/>
          <w:sz w:val="28"/>
        </w:rPr>
        <w:t>. Мотивація</w:t>
      </w:r>
    </w:p>
    <w:p w:rsidR="00D74193" w:rsidRDefault="00D74193">
      <w:pPr>
        <w:spacing w:line="312" w:lineRule="auto"/>
        <w:ind w:firstLine="851"/>
        <w:jc w:val="center"/>
        <w:rPr>
          <w:sz w:val="28"/>
        </w:rPr>
      </w:pPr>
    </w:p>
    <w:p w:rsidR="00D74193" w:rsidRDefault="00D74193">
      <w:pPr>
        <w:spacing w:line="360" w:lineRule="auto"/>
        <w:jc w:val="center"/>
        <w:rPr>
          <w:sz w:val="28"/>
        </w:rPr>
      </w:pPr>
      <w:r>
        <w:object w:dxaOrig="8371" w:dyaOrig="9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15pt;height:452.4pt" o:ole="">
            <v:imagedata r:id="rId7" o:title=""/>
          </v:shape>
          <o:OLEObject Type="Embed" ProgID="PBrush" ShapeID="_x0000_i1025" DrawAspect="Content" ObjectID="_1394023063" r:id="rId8"/>
        </w:object>
      </w:r>
    </w:p>
    <w:p w:rsidR="00D74193" w:rsidRDefault="00D74193">
      <w:pPr>
        <w:ind w:firstLine="851"/>
        <w:jc w:val="both"/>
        <w:rPr>
          <w:sz w:val="28"/>
        </w:rPr>
      </w:pPr>
    </w:p>
    <w:p w:rsidR="00D74193" w:rsidRDefault="00D74193">
      <w:pPr>
        <w:ind w:firstLine="851"/>
        <w:jc w:val="both"/>
        <w:rPr>
          <w:sz w:val="28"/>
        </w:rPr>
      </w:pPr>
    </w:p>
    <w:p w:rsidR="00D74193" w:rsidRDefault="00D74193">
      <w:pPr>
        <w:jc w:val="center"/>
        <w:rPr>
          <w:sz w:val="28"/>
        </w:rPr>
      </w:pPr>
      <w:r>
        <w:rPr>
          <w:sz w:val="28"/>
        </w:rPr>
        <w:t xml:space="preserve">Рис. </w:t>
      </w:r>
      <w:r w:rsidR="002F22E9">
        <w:rPr>
          <w:sz w:val="28"/>
        </w:rPr>
        <w:t>7</w:t>
      </w:r>
      <w:r>
        <w:rPr>
          <w:sz w:val="28"/>
        </w:rPr>
        <w:t>.1. Спрощена модель процесу мотивації</w:t>
      </w:r>
    </w:p>
    <w:p w:rsidR="00D74193" w:rsidRDefault="00D74193">
      <w:pPr>
        <w:tabs>
          <w:tab w:val="num" w:pos="-5670"/>
        </w:tabs>
        <w:spacing w:line="312" w:lineRule="auto"/>
        <w:ind w:firstLine="851"/>
        <w:jc w:val="both"/>
        <w:rPr>
          <w:sz w:val="28"/>
        </w:rPr>
        <w:sectPr w:rsidR="00D74193" w:rsidSect="00516A53">
          <w:headerReference w:type="even" r:id="rId9"/>
          <w:headerReference w:type="default" r:id="rId10"/>
          <w:footerReference w:type="even" r:id="rId11"/>
          <w:pgSz w:w="11906" w:h="16838"/>
          <w:pgMar w:top="851" w:right="567" w:bottom="567" w:left="1418" w:header="397" w:footer="0" w:gutter="0"/>
          <w:pgNumType w:start="83"/>
          <w:cols w:space="720"/>
        </w:sectPr>
      </w:pPr>
    </w:p>
    <w:p w:rsidR="00D74193" w:rsidRDefault="00D74193">
      <w:pPr>
        <w:ind w:firstLine="851"/>
        <w:jc w:val="both"/>
        <w:rPr>
          <w:sz w:val="16"/>
        </w:rPr>
      </w:pPr>
    </w:p>
    <w:p w:rsidR="00D74193" w:rsidRDefault="00D74193">
      <w:pPr>
        <w:jc w:val="center"/>
        <w:rPr>
          <w:sz w:val="28"/>
        </w:rPr>
      </w:pPr>
      <w:r>
        <w:object w:dxaOrig="9659" w:dyaOrig="8249">
          <v:shape id="_x0000_i1026" type="#_x0000_t75" style="width:415.7pt;height:332.85pt" o:ole="">
            <v:imagedata r:id="rId12" o:title=""/>
          </v:shape>
          <o:OLEObject Type="Embed" ProgID="PBrush" ShapeID="_x0000_i1026" DrawAspect="Content" ObjectID="_1394023064" r:id="rId13"/>
        </w:object>
      </w:r>
    </w:p>
    <w:p w:rsidR="00D74193" w:rsidRDefault="00D74193">
      <w:pPr>
        <w:ind w:firstLine="851"/>
        <w:rPr>
          <w:sz w:val="28"/>
        </w:rPr>
      </w:pPr>
    </w:p>
    <w:p w:rsidR="00D74193" w:rsidRDefault="00D74193">
      <w:pPr>
        <w:jc w:val="center"/>
        <w:rPr>
          <w:sz w:val="28"/>
        </w:rPr>
      </w:pPr>
      <w:r>
        <w:rPr>
          <w:sz w:val="28"/>
        </w:rPr>
        <w:t xml:space="preserve">Рис. </w:t>
      </w:r>
      <w:r w:rsidR="002F22E9">
        <w:rPr>
          <w:sz w:val="28"/>
        </w:rPr>
        <w:t>7</w:t>
      </w:r>
      <w:r>
        <w:rPr>
          <w:sz w:val="28"/>
        </w:rPr>
        <w:t>.2. Ієрархія потреб за А. Маслоу</w:t>
      </w:r>
    </w:p>
    <w:p w:rsidR="00D74193" w:rsidRDefault="00D74193">
      <w:pPr>
        <w:jc w:val="center"/>
      </w:pPr>
      <w:r>
        <w:object w:dxaOrig="9676" w:dyaOrig="9374">
          <v:shape id="_x0000_i1027" type="#_x0000_t75" style="width:482.25pt;height:438.8pt" o:ole="">
            <v:imagedata r:id="rId14" o:title=""/>
          </v:shape>
          <o:OLEObject Type="Embed" ProgID="PBrush" ShapeID="_x0000_i1027" DrawAspect="Content" ObjectID="_1394023065" r:id="rId15"/>
        </w:object>
      </w:r>
    </w:p>
    <w:p w:rsidR="00D74193" w:rsidRDefault="00D74193">
      <w:pPr>
        <w:spacing w:line="360" w:lineRule="auto"/>
        <w:jc w:val="center"/>
        <w:rPr>
          <w:sz w:val="28"/>
        </w:rPr>
      </w:pPr>
    </w:p>
    <w:p w:rsidR="00D74193" w:rsidRDefault="00D74193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Рис. </w:t>
      </w:r>
      <w:r w:rsidR="002F22E9">
        <w:rPr>
          <w:sz w:val="28"/>
        </w:rPr>
        <w:t>7</w:t>
      </w:r>
      <w:r>
        <w:rPr>
          <w:sz w:val="28"/>
        </w:rPr>
        <w:t>.3. Управління мотивацією за теорією А. Маслоу</w:t>
      </w:r>
    </w:p>
    <w:p w:rsidR="00D74193" w:rsidRDefault="00D74193">
      <w:pPr>
        <w:spacing w:line="360" w:lineRule="auto"/>
        <w:jc w:val="center"/>
        <w:rPr>
          <w:sz w:val="28"/>
        </w:rPr>
      </w:pPr>
    </w:p>
    <w:p w:rsidR="00D74193" w:rsidRDefault="00D74193">
      <w:pPr>
        <w:spacing w:line="312" w:lineRule="auto"/>
        <w:jc w:val="center"/>
      </w:pPr>
      <w:r>
        <w:object w:dxaOrig="9676" w:dyaOrig="9151">
          <v:shape id="_x0000_i1028" type="#_x0000_t75" style="width:421.15pt;height:399.4pt" o:ole="">
            <v:imagedata r:id="rId16" o:title=""/>
          </v:shape>
          <o:OLEObject Type="Embed" ProgID="PBrush" ShapeID="_x0000_i1028" DrawAspect="Content" ObjectID="_1394023066" r:id="rId17"/>
        </w:object>
      </w:r>
    </w:p>
    <w:p w:rsidR="00D74193" w:rsidRDefault="00D74193">
      <w:pPr>
        <w:spacing w:line="360" w:lineRule="auto"/>
        <w:jc w:val="center"/>
        <w:rPr>
          <w:sz w:val="28"/>
        </w:rPr>
      </w:pPr>
    </w:p>
    <w:p w:rsidR="00D74193" w:rsidRDefault="00D74193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Рис. </w:t>
      </w:r>
      <w:r w:rsidR="002F22E9">
        <w:rPr>
          <w:sz w:val="28"/>
        </w:rPr>
        <w:t>7</w:t>
      </w:r>
      <w:r>
        <w:rPr>
          <w:sz w:val="28"/>
        </w:rPr>
        <w:t>.4. Теорія набутих потреб Д. МакКлелланда</w:t>
      </w:r>
    </w:p>
    <w:p w:rsidR="00D74193" w:rsidRDefault="00D74193">
      <w:pPr>
        <w:spacing w:line="360" w:lineRule="auto"/>
        <w:jc w:val="center"/>
        <w:rPr>
          <w:sz w:val="28"/>
        </w:rPr>
      </w:pPr>
    </w:p>
    <w:p w:rsidR="00D74193" w:rsidRDefault="00D74193">
      <w:pPr>
        <w:pStyle w:val="a4"/>
        <w:spacing w:line="312" w:lineRule="auto"/>
        <w:ind w:firstLine="851"/>
        <w:jc w:val="right"/>
        <w:rPr>
          <w:sz w:val="28"/>
        </w:rPr>
      </w:pPr>
      <w:r>
        <w:rPr>
          <w:sz w:val="28"/>
        </w:rPr>
        <w:t xml:space="preserve">Таблиця </w:t>
      </w:r>
      <w:r w:rsidR="002F22E9">
        <w:rPr>
          <w:sz w:val="28"/>
        </w:rPr>
        <w:t>7</w:t>
      </w:r>
      <w:r>
        <w:rPr>
          <w:sz w:val="28"/>
        </w:rPr>
        <w:t>.1</w:t>
      </w:r>
    </w:p>
    <w:p w:rsidR="00D74193" w:rsidRDefault="00D74193">
      <w:pPr>
        <w:pStyle w:val="a4"/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>"Мотиваційні" та "гігієнічні" фактори в теорії Фредеріка Герцберга</w:t>
      </w:r>
    </w:p>
    <w:p w:rsidR="00D74193" w:rsidRDefault="00D74193">
      <w:pPr>
        <w:pStyle w:val="a4"/>
        <w:ind w:firstLine="851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63"/>
        <w:gridCol w:w="4393"/>
      </w:tblGrid>
      <w:tr w:rsidR="00D74193">
        <w:trPr>
          <w:trHeight w:val="452"/>
          <w:jc w:val="center"/>
        </w:trPr>
        <w:tc>
          <w:tcPr>
            <w:tcW w:w="4963" w:type="dxa"/>
            <w:vAlign w:val="center"/>
          </w:tcPr>
          <w:p w:rsidR="00D74193" w:rsidRDefault="00D74193">
            <w:pPr>
              <w:pStyle w:val="a4"/>
              <w:rPr>
                <w:b/>
              </w:rPr>
            </w:pPr>
            <w:r>
              <w:rPr>
                <w:b/>
              </w:rPr>
              <w:t>«Дійсні мотиватори»</w:t>
            </w:r>
          </w:p>
        </w:tc>
        <w:tc>
          <w:tcPr>
            <w:tcW w:w="4393" w:type="dxa"/>
            <w:vAlign w:val="center"/>
          </w:tcPr>
          <w:p w:rsidR="00D74193" w:rsidRDefault="00D74193">
            <w:pPr>
              <w:pStyle w:val="a4"/>
              <w:rPr>
                <w:b/>
              </w:rPr>
            </w:pPr>
            <w:r>
              <w:rPr>
                <w:b/>
              </w:rPr>
              <w:t>«Гігієнічні фактори»</w:t>
            </w:r>
          </w:p>
        </w:tc>
      </w:tr>
      <w:tr w:rsidR="00D74193">
        <w:trPr>
          <w:trHeight w:val="3006"/>
          <w:jc w:val="center"/>
        </w:trPr>
        <w:tc>
          <w:tcPr>
            <w:tcW w:w="4963" w:type="dxa"/>
          </w:tcPr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Визнання результатів праці (заслуг) праці</w:t>
            </w:r>
            <w:r>
              <w:t>в</w:t>
            </w:r>
            <w:r>
              <w:t>ника.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Змістовність праці (можливість розвитку особистості).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Досягнення (успішність) в роботі.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Високий ступінь відповідальності.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Просування службою.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Можливості творчого та ділового зростання.</w:t>
            </w:r>
          </w:p>
        </w:tc>
        <w:tc>
          <w:tcPr>
            <w:tcW w:w="4393" w:type="dxa"/>
          </w:tcPr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Заробітна платня.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Умови праці.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Соціально-трудова політика фірми.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Міжособові стосунки в колективі.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Ступінь контролю з боку керівника.</w:t>
            </w:r>
          </w:p>
          <w:p w:rsidR="00D74193" w:rsidRDefault="00D74193">
            <w:pPr>
              <w:pStyle w:val="a4"/>
              <w:spacing w:before="120"/>
              <w:ind w:left="113"/>
              <w:jc w:val="left"/>
            </w:pPr>
            <w:r>
              <w:t>Ставлення безпосереднього керівника.</w:t>
            </w:r>
          </w:p>
        </w:tc>
      </w:tr>
    </w:tbl>
    <w:p w:rsidR="00D74193" w:rsidRDefault="00D74193">
      <w:pPr>
        <w:pStyle w:val="a4"/>
        <w:ind w:firstLine="851"/>
        <w:jc w:val="both"/>
        <w:rPr>
          <w:sz w:val="28"/>
        </w:rPr>
      </w:pPr>
    </w:p>
    <w:p w:rsidR="00D74193" w:rsidRDefault="00D74193">
      <w:pPr>
        <w:pStyle w:val="a4"/>
        <w:ind w:firstLine="851"/>
        <w:rPr>
          <w:sz w:val="28"/>
        </w:rPr>
      </w:pPr>
    </w:p>
    <w:p w:rsidR="00D74193" w:rsidRDefault="00D74193">
      <w:pPr>
        <w:pStyle w:val="a4"/>
        <w:spacing w:line="312" w:lineRule="auto"/>
        <w:rPr>
          <w:sz w:val="28"/>
        </w:rPr>
      </w:pPr>
      <w:r>
        <w:object w:dxaOrig="15178" w:dyaOrig="8654">
          <v:shape id="_x0000_i1029" type="#_x0000_t75" style="width:480.9pt;height:317.9pt" o:ole="">
            <v:imagedata r:id="rId18" o:title=""/>
          </v:shape>
          <o:OLEObject Type="Embed" ProgID="PBrush" ShapeID="_x0000_i1029" DrawAspect="Content" ObjectID="_1394023067" r:id="rId19"/>
        </w:object>
      </w:r>
    </w:p>
    <w:p w:rsidR="00D74193" w:rsidRDefault="00D74193">
      <w:pPr>
        <w:pStyle w:val="a4"/>
        <w:spacing w:line="360" w:lineRule="auto"/>
        <w:ind w:firstLine="851"/>
        <w:rPr>
          <w:sz w:val="28"/>
        </w:rPr>
      </w:pPr>
    </w:p>
    <w:p w:rsidR="00D74193" w:rsidRDefault="00D74193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Рис. </w:t>
      </w:r>
      <w:r w:rsidR="002F22E9">
        <w:rPr>
          <w:sz w:val="28"/>
        </w:rPr>
        <w:t>7</w:t>
      </w:r>
      <w:r>
        <w:rPr>
          <w:sz w:val="28"/>
        </w:rPr>
        <w:t>.5. Вплив гігієнічних та мотиваційних факторів у теорії Ф. Герцберга</w:t>
      </w:r>
    </w:p>
    <w:p w:rsidR="00D74193" w:rsidRDefault="00D74193">
      <w:pPr>
        <w:pStyle w:val="a4"/>
        <w:spacing w:line="360" w:lineRule="auto"/>
        <w:ind w:firstLine="851"/>
        <w:rPr>
          <w:sz w:val="28"/>
        </w:rPr>
      </w:pPr>
    </w:p>
    <w:p w:rsidR="00D74193" w:rsidRDefault="00D74193">
      <w:pPr>
        <w:pStyle w:val="a4"/>
        <w:spacing w:line="312" w:lineRule="auto"/>
        <w:ind w:firstLine="851"/>
        <w:jc w:val="left"/>
        <w:rPr>
          <w:sz w:val="28"/>
        </w:rPr>
        <w:sectPr w:rsidR="00D74193">
          <w:pgSz w:w="11906" w:h="16838" w:code="9"/>
          <w:pgMar w:top="851" w:right="567" w:bottom="567" w:left="1418" w:header="397" w:footer="0" w:gutter="0"/>
          <w:cols w:space="720"/>
        </w:sectPr>
      </w:pPr>
    </w:p>
    <w:p w:rsidR="00D74193" w:rsidRDefault="00D74193">
      <w:pPr>
        <w:pStyle w:val="a4"/>
        <w:spacing w:line="360" w:lineRule="auto"/>
        <w:rPr>
          <w:sz w:val="28"/>
        </w:rPr>
      </w:pPr>
      <w:r>
        <w:object w:dxaOrig="9389" w:dyaOrig="10079">
          <v:shape id="_x0000_i1030" type="#_x0000_t75" style="width:391.25pt;height:355.9pt" o:ole="">
            <v:imagedata r:id="rId20" o:title=""/>
          </v:shape>
          <o:OLEObject Type="Embed" ProgID="PBrush" ShapeID="_x0000_i1030" DrawAspect="Content" ObjectID="_1394023068" r:id="rId21"/>
        </w:object>
      </w:r>
    </w:p>
    <w:p w:rsidR="00D74193" w:rsidRDefault="00D74193">
      <w:pPr>
        <w:pStyle w:val="a4"/>
        <w:rPr>
          <w:sz w:val="28"/>
        </w:rPr>
      </w:pPr>
    </w:p>
    <w:p w:rsidR="00D74193" w:rsidRDefault="00D74193">
      <w:pPr>
        <w:pStyle w:val="a4"/>
        <w:rPr>
          <w:sz w:val="28"/>
        </w:rPr>
      </w:pPr>
      <w:r>
        <w:rPr>
          <w:sz w:val="28"/>
        </w:rPr>
        <w:t xml:space="preserve">Рис. </w:t>
      </w:r>
      <w:r w:rsidR="002F22E9">
        <w:rPr>
          <w:sz w:val="28"/>
        </w:rPr>
        <w:t>7</w:t>
      </w:r>
      <w:r>
        <w:rPr>
          <w:sz w:val="28"/>
        </w:rPr>
        <w:t>.6. Модель мотивації за теорією сподівань В. Врума</w:t>
      </w:r>
    </w:p>
    <w:p w:rsidR="00D74193" w:rsidRDefault="00D74193">
      <w:pPr>
        <w:pStyle w:val="a4"/>
        <w:rPr>
          <w:sz w:val="28"/>
        </w:rPr>
      </w:pPr>
    </w:p>
    <w:p w:rsidR="00D74193" w:rsidRDefault="00D74193">
      <w:pPr>
        <w:pStyle w:val="a4"/>
        <w:spacing w:line="360" w:lineRule="auto"/>
        <w:rPr>
          <w:sz w:val="28"/>
        </w:rPr>
      </w:pPr>
      <w:r>
        <w:object w:dxaOrig="13918" w:dyaOrig="7664">
          <v:shape id="_x0000_i1031" type="#_x0000_t75" style="width:499.9pt;height:275.75pt" o:ole="">
            <v:imagedata r:id="rId22" o:title=""/>
          </v:shape>
          <o:OLEObject Type="Embed" ProgID="PBrush" ShapeID="_x0000_i1031" DrawAspect="Content" ObjectID="_1394023069" r:id="rId23"/>
        </w:object>
      </w:r>
    </w:p>
    <w:p w:rsidR="00D74193" w:rsidRDefault="00D74193">
      <w:pPr>
        <w:tabs>
          <w:tab w:val="left" w:pos="-5529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Рис. </w:t>
      </w:r>
      <w:r w:rsidR="002F22E9">
        <w:rPr>
          <w:sz w:val="28"/>
        </w:rPr>
        <w:t>7</w:t>
      </w:r>
      <w:r>
        <w:rPr>
          <w:sz w:val="28"/>
        </w:rPr>
        <w:t>.7. Сутнісна характеристика “теорії справедливості” Стейсі Адамса</w:t>
      </w:r>
    </w:p>
    <w:p w:rsidR="00D74193" w:rsidRDefault="00D74193">
      <w:pPr>
        <w:pStyle w:val="a4"/>
        <w:spacing w:line="360" w:lineRule="auto"/>
        <w:ind w:firstLine="851"/>
        <w:jc w:val="both"/>
        <w:rPr>
          <w:sz w:val="28"/>
        </w:rPr>
      </w:pPr>
    </w:p>
    <w:p w:rsidR="00D74193" w:rsidRDefault="00D74193">
      <w:pPr>
        <w:spacing w:line="312" w:lineRule="auto"/>
        <w:jc w:val="right"/>
        <w:rPr>
          <w:sz w:val="28"/>
        </w:rPr>
      </w:pPr>
      <w:r>
        <w:rPr>
          <w:sz w:val="28"/>
        </w:rPr>
        <w:lastRenderedPageBreak/>
        <w:t xml:space="preserve">Таблиця </w:t>
      </w:r>
      <w:r w:rsidR="002F22E9">
        <w:rPr>
          <w:sz w:val="28"/>
        </w:rPr>
        <w:t>7</w:t>
      </w:r>
      <w:r>
        <w:rPr>
          <w:sz w:val="28"/>
        </w:rPr>
        <w:t>.2</w:t>
      </w:r>
    </w:p>
    <w:p w:rsidR="00D74193" w:rsidRDefault="00D74193">
      <w:pPr>
        <w:pStyle w:val="a4"/>
        <w:keepLines/>
        <w:widowControl w:val="0"/>
        <w:tabs>
          <w:tab w:val="left" w:pos="0"/>
        </w:tabs>
        <w:spacing w:line="312" w:lineRule="auto"/>
        <w:rPr>
          <w:sz w:val="28"/>
        </w:rPr>
      </w:pPr>
      <w:r>
        <w:rPr>
          <w:sz w:val="28"/>
        </w:rPr>
        <w:t>Можливі типи реакцій працівника на несправедливість</w:t>
      </w:r>
    </w:p>
    <w:p w:rsidR="00D74193" w:rsidRDefault="00D74193">
      <w:pPr>
        <w:pStyle w:val="a4"/>
        <w:keepLines/>
        <w:widowControl w:val="0"/>
        <w:tabs>
          <w:tab w:val="left" w:pos="-5529"/>
        </w:tabs>
        <w:spacing w:line="312" w:lineRule="auto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2"/>
        <w:gridCol w:w="1820"/>
        <w:gridCol w:w="1701"/>
        <w:gridCol w:w="1843"/>
        <w:gridCol w:w="1276"/>
        <w:gridCol w:w="1275"/>
      </w:tblGrid>
      <w:tr w:rsidR="00D74193">
        <w:trPr>
          <w:trHeight w:val="401"/>
        </w:trPr>
        <w:tc>
          <w:tcPr>
            <w:tcW w:w="1582" w:type="dxa"/>
            <w:vAlign w:val="center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1820" w:type="dxa"/>
            <w:vAlign w:val="center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1701" w:type="dxa"/>
            <w:vAlign w:val="center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</w:p>
        </w:tc>
        <w:tc>
          <w:tcPr>
            <w:tcW w:w="1843" w:type="dxa"/>
            <w:vAlign w:val="center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276" w:type="dxa"/>
            <w:vAlign w:val="center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1275" w:type="dxa"/>
            <w:vAlign w:val="center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</w:tr>
      <w:tr w:rsidR="00D74193">
        <w:trPr>
          <w:trHeight w:val="2691"/>
        </w:trPr>
        <w:tc>
          <w:tcPr>
            <w:tcW w:w="1582" w:type="dxa"/>
          </w:tcPr>
          <w:p w:rsidR="00D74193" w:rsidRDefault="00D74193">
            <w:pPr>
              <w:pStyle w:val="a4"/>
              <w:spacing w:before="120"/>
              <w:jc w:val="left"/>
            </w:pPr>
            <w:r>
              <w:t>Необхідно зменшити витрати з</w:t>
            </w:r>
            <w:r>
              <w:t>у</w:t>
            </w:r>
            <w:r>
              <w:t>силь.</w:t>
            </w:r>
          </w:p>
          <w:p w:rsidR="00D74193" w:rsidRDefault="00D74193">
            <w:pPr>
              <w:pStyle w:val="a4"/>
              <w:spacing w:before="120"/>
              <w:jc w:val="left"/>
            </w:pPr>
            <w:r>
              <w:t>Результат: зниження і</w:t>
            </w:r>
            <w:r>
              <w:t>н</w:t>
            </w:r>
            <w:r>
              <w:t>тенсивності праці</w:t>
            </w:r>
          </w:p>
        </w:tc>
        <w:tc>
          <w:tcPr>
            <w:tcW w:w="1820" w:type="dxa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Спроба збіл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шити винаг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роду. Методи: вимога підв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щення оплати, покращення умов праці, просування за службою</w:t>
            </w:r>
          </w:p>
        </w:tc>
        <w:tc>
          <w:tcPr>
            <w:tcW w:w="1701" w:type="dxa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spacing w:before="120"/>
              <w:ind w:hanging="11"/>
              <w:rPr>
                <w:sz w:val="24"/>
              </w:rPr>
            </w:pPr>
            <w:r>
              <w:rPr>
                <w:sz w:val="24"/>
              </w:rPr>
              <w:t>Переоцінка своїх можл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востей. Мо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ливе зниже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 рівня вп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вненості у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бі, зниження показників у роботі</w:t>
            </w:r>
          </w:p>
        </w:tc>
        <w:tc>
          <w:tcPr>
            <w:tcW w:w="1843" w:type="dxa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Спроба впл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нути на орган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зацію з метою домогтися зб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льшення зусиль осіб, з якими себе порівнює, або зменшити їх винагороду</w:t>
            </w:r>
          </w:p>
        </w:tc>
        <w:tc>
          <w:tcPr>
            <w:tcW w:w="1276" w:type="dxa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Зміна об’єкту порівня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ня на більш вдалий </w:t>
            </w:r>
          </w:p>
        </w:tc>
        <w:tc>
          <w:tcPr>
            <w:tcW w:w="1275" w:type="dxa"/>
          </w:tcPr>
          <w:p w:rsidR="00D74193" w:rsidRDefault="00D74193">
            <w:pPr>
              <w:keepLines/>
              <w:widowControl w:val="0"/>
              <w:tabs>
                <w:tab w:val="left" w:pos="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Перехід в інший підрозділ або зал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шення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ганізації</w:t>
            </w:r>
          </w:p>
        </w:tc>
      </w:tr>
    </w:tbl>
    <w:p w:rsidR="00D74193" w:rsidRDefault="00D74193">
      <w:pPr>
        <w:spacing w:line="312" w:lineRule="auto"/>
        <w:ind w:firstLine="851"/>
        <w:jc w:val="both"/>
        <w:rPr>
          <w:sz w:val="28"/>
        </w:rPr>
      </w:pPr>
    </w:p>
    <w:p w:rsidR="00D74193" w:rsidRDefault="00D74193">
      <w:pPr>
        <w:spacing w:line="360" w:lineRule="auto"/>
        <w:ind w:firstLine="851"/>
        <w:jc w:val="both"/>
        <w:rPr>
          <w:sz w:val="28"/>
        </w:rPr>
      </w:pPr>
    </w:p>
    <w:p w:rsidR="00D74193" w:rsidRDefault="00D74193">
      <w:pPr>
        <w:spacing w:line="360" w:lineRule="auto"/>
        <w:jc w:val="center"/>
        <w:rPr>
          <w:sz w:val="28"/>
        </w:rPr>
      </w:pPr>
      <w:r>
        <w:object w:dxaOrig="13918" w:dyaOrig="7274">
          <v:shape id="_x0000_i1032" type="#_x0000_t75" style="width:482.25pt;height:252.7pt" o:ole="">
            <v:imagedata r:id="rId24" o:title=""/>
          </v:shape>
          <o:OLEObject Type="Embed" ProgID="PBrush" ShapeID="_x0000_i1032" DrawAspect="Content" ObjectID="_1394023070" r:id="rId25"/>
        </w:object>
      </w:r>
    </w:p>
    <w:p w:rsidR="00D74193" w:rsidRDefault="00D74193">
      <w:pPr>
        <w:spacing w:line="312" w:lineRule="auto"/>
        <w:jc w:val="center"/>
        <w:rPr>
          <w:sz w:val="28"/>
        </w:rPr>
      </w:pPr>
    </w:p>
    <w:p w:rsidR="00D74193" w:rsidRDefault="00D74193">
      <w:pPr>
        <w:spacing w:line="312" w:lineRule="auto"/>
        <w:jc w:val="center"/>
        <w:rPr>
          <w:sz w:val="28"/>
        </w:rPr>
      </w:pPr>
      <w:r>
        <w:rPr>
          <w:sz w:val="28"/>
        </w:rPr>
        <w:t xml:space="preserve">Рис. </w:t>
      </w:r>
      <w:r w:rsidR="002F22E9">
        <w:rPr>
          <w:sz w:val="28"/>
        </w:rPr>
        <w:t>7</w:t>
      </w:r>
      <w:r>
        <w:rPr>
          <w:sz w:val="28"/>
        </w:rPr>
        <w:t>.8. Модель комплексної теорії мотивації Л. Портера - Е. Лоулера</w:t>
      </w:r>
    </w:p>
    <w:p w:rsidR="00D74193" w:rsidRDefault="00D74193">
      <w:pPr>
        <w:pStyle w:val="a3"/>
        <w:spacing w:line="312" w:lineRule="auto"/>
        <w:ind w:left="851" w:firstLine="0"/>
        <w:rPr>
          <w:sz w:val="28"/>
        </w:rPr>
      </w:pPr>
    </w:p>
    <w:sectPr w:rsidR="00D74193" w:rsidSect="0043639F">
      <w:pgSz w:w="11906" w:h="16838" w:code="9"/>
      <w:pgMar w:top="851" w:right="567" w:bottom="567" w:left="1418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1D0" w:rsidRDefault="00CA41D0">
      <w:r>
        <w:separator/>
      </w:r>
    </w:p>
  </w:endnote>
  <w:endnote w:type="continuationSeparator" w:id="1">
    <w:p w:rsidR="00CA41D0" w:rsidRDefault="00CA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93" w:rsidRDefault="0043639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41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193" w:rsidRDefault="00D741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1D0" w:rsidRDefault="00CA41D0">
      <w:r>
        <w:separator/>
      </w:r>
    </w:p>
  </w:footnote>
  <w:footnote w:type="continuationSeparator" w:id="1">
    <w:p w:rsidR="00CA41D0" w:rsidRDefault="00CA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93" w:rsidRDefault="0043639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41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193" w:rsidRDefault="00D7419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193" w:rsidRPr="00516A53" w:rsidRDefault="0043639F">
    <w:pPr>
      <w:pStyle w:val="a7"/>
      <w:framePr w:wrap="around" w:vAnchor="text" w:hAnchor="margin" w:xAlign="right" w:y="1"/>
      <w:rPr>
        <w:rStyle w:val="a6"/>
        <w:sz w:val="24"/>
        <w:szCs w:val="24"/>
      </w:rPr>
    </w:pPr>
    <w:r w:rsidRPr="00516A53">
      <w:rPr>
        <w:rStyle w:val="a6"/>
        <w:sz w:val="24"/>
        <w:szCs w:val="24"/>
      </w:rPr>
      <w:fldChar w:fldCharType="begin"/>
    </w:r>
    <w:r w:rsidR="00D74193" w:rsidRPr="00516A53">
      <w:rPr>
        <w:rStyle w:val="a6"/>
        <w:sz w:val="24"/>
        <w:szCs w:val="24"/>
      </w:rPr>
      <w:instrText xml:space="preserve">PAGE  </w:instrText>
    </w:r>
    <w:r w:rsidRPr="00516A53">
      <w:rPr>
        <w:rStyle w:val="a6"/>
        <w:sz w:val="24"/>
        <w:szCs w:val="24"/>
      </w:rPr>
      <w:fldChar w:fldCharType="separate"/>
    </w:r>
    <w:r w:rsidR="0000290F">
      <w:rPr>
        <w:rStyle w:val="a6"/>
        <w:noProof/>
        <w:sz w:val="24"/>
        <w:szCs w:val="24"/>
      </w:rPr>
      <w:t>84</w:t>
    </w:r>
    <w:r w:rsidRPr="00516A53">
      <w:rPr>
        <w:rStyle w:val="a6"/>
        <w:sz w:val="24"/>
        <w:szCs w:val="24"/>
      </w:rPr>
      <w:fldChar w:fldCharType="end"/>
    </w:r>
  </w:p>
  <w:p w:rsidR="00D74193" w:rsidRDefault="00D7419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37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">
    <w:nsid w:val="00EA4FDD"/>
    <w:multiLevelType w:val="singleLevel"/>
    <w:tmpl w:val="CA8631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3A05243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084B4510"/>
    <w:multiLevelType w:val="singleLevel"/>
    <w:tmpl w:val="DF86A06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A743A51"/>
    <w:multiLevelType w:val="singleLevel"/>
    <w:tmpl w:val="FA448B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E144540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>
    <w:nsid w:val="1B7F1D43"/>
    <w:multiLevelType w:val="singleLevel"/>
    <w:tmpl w:val="AB0C95D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F0E1E08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>
    <w:nsid w:val="22E72D1A"/>
    <w:multiLevelType w:val="singleLevel"/>
    <w:tmpl w:val="DF86A06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2B784EEB"/>
    <w:multiLevelType w:val="singleLevel"/>
    <w:tmpl w:val="990CCB28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0">
    <w:nsid w:val="2F156964"/>
    <w:multiLevelType w:val="singleLevel"/>
    <w:tmpl w:val="DF86A06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31A13C51"/>
    <w:multiLevelType w:val="singleLevel"/>
    <w:tmpl w:val="7D0E1E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3A69195C"/>
    <w:multiLevelType w:val="singleLevel"/>
    <w:tmpl w:val="3F1A251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20B2E84"/>
    <w:multiLevelType w:val="singleLevel"/>
    <w:tmpl w:val="8E50F9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4">
    <w:nsid w:val="578C6276"/>
    <w:multiLevelType w:val="singleLevel"/>
    <w:tmpl w:val="26C474B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58AB59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60FA284A"/>
    <w:multiLevelType w:val="singleLevel"/>
    <w:tmpl w:val="CA8631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61E9652C"/>
    <w:multiLevelType w:val="singleLevel"/>
    <w:tmpl w:val="0C06879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CCE7AC5"/>
    <w:multiLevelType w:val="singleLevel"/>
    <w:tmpl w:val="DF86A06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6E2A0F4E"/>
    <w:multiLevelType w:val="singleLevel"/>
    <w:tmpl w:val="FA448B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ED6697E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1">
    <w:nsid w:val="759E7485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2">
    <w:nsid w:val="7E3D4808"/>
    <w:multiLevelType w:val="hybridMultilevel"/>
    <w:tmpl w:val="4F5A95CA"/>
    <w:lvl w:ilvl="0" w:tplc="44BAFE06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A4AF260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D346C3B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D9A316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B5C0032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53B4A00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650B7E4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DC06CF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ECFC02F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7E4B5BB4"/>
    <w:multiLevelType w:val="singleLevel"/>
    <w:tmpl w:val="CA8631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7FAB0FD6"/>
    <w:multiLevelType w:val="singleLevel"/>
    <w:tmpl w:val="6F9661D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19"/>
  </w:num>
  <w:num w:numId="5">
    <w:abstractNumId w:val="8"/>
  </w:num>
  <w:num w:numId="6">
    <w:abstractNumId w:val="15"/>
  </w:num>
  <w:num w:numId="7">
    <w:abstractNumId w:val="6"/>
  </w:num>
  <w:num w:numId="8">
    <w:abstractNumId w:val="17"/>
  </w:num>
  <w:num w:numId="9">
    <w:abstractNumId w:val="12"/>
  </w:num>
  <w:num w:numId="10">
    <w:abstractNumId w:val="18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22"/>
  </w:num>
  <w:num w:numId="16">
    <w:abstractNumId w:val="23"/>
  </w:num>
  <w:num w:numId="17">
    <w:abstractNumId w:val="9"/>
  </w:num>
  <w:num w:numId="18">
    <w:abstractNumId w:val="2"/>
  </w:num>
  <w:num w:numId="19">
    <w:abstractNumId w:val="7"/>
  </w:num>
  <w:num w:numId="20">
    <w:abstractNumId w:val="5"/>
  </w:num>
  <w:num w:numId="21">
    <w:abstractNumId w:val="16"/>
  </w:num>
  <w:num w:numId="22">
    <w:abstractNumId w:val="1"/>
  </w:num>
  <w:num w:numId="23">
    <w:abstractNumId w:val="0"/>
  </w:num>
  <w:num w:numId="24">
    <w:abstractNumId w:val="21"/>
  </w:num>
  <w:num w:numId="25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embedSystemFont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2E9"/>
    <w:rsid w:val="0000290F"/>
    <w:rsid w:val="00190DB0"/>
    <w:rsid w:val="002F22E9"/>
    <w:rsid w:val="0043639F"/>
    <w:rsid w:val="00516A53"/>
    <w:rsid w:val="006068BC"/>
    <w:rsid w:val="00947B6F"/>
    <w:rsid w:val="00CA41D0"/>
    <w:rsid w:val="00CF4405"/>
    <w:rsid w:val="00D7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9F"/>
    <w:rPr>
      <w:lang w:val="uk-UA"/>
    </w:rPr>
  </w:style>
  <w:style w:type="paragraph" w:styleId="1">
    <w:name w:val="heading 1"/>
    <w:basedOn w:val="a"/>
    <w:next w:val="a"/>
    <w:qFormat/>
    <w:rsid w:val="0043639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3639F"/>
    <w:pPr>
      <w:keepNext/>
      <w:jc w:val="center"/>
      <w:outlineLvl w:val="1"/>
    </w:pPr>
    <w:rPr>
      <w:sz w:val="24"/>
      <w:u w:val="single"/>
    </w:rPr>
  </w:style>
  <w:style w:type="paragraph" w:styleId="3">
    <w:name w:val="heading 3"/>
    <w:basedOn w:val="a"/>
    <w:next w:val="a"/>
    <w:qFormat/>
    <w:rsid w:val="0043639F"/>
    <w:pPr>
      <w:keepNext/>
      <w:ind w:left="37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3639F"/>
    <w:pPr>
      <w:keepNext/>
      <w:spacing w:before="20"/>
      <w:ind w:left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3639F"/>
    <w:pPr>
      <w:keepNext/>
      <w:ind w:firstLine="709"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43639F"/>
    <w:pPr>
      <w:keepNext/>
      <w:jc w:val="center"/>
      <w:outlineLvl w:val="5"/>
    </w:pPr>
    <w:rPr>
      <w:b/>
      <w:sz w:val="24"/>
      <w:u w:val="single"/>
    </w:rPr>
  </w:style>
  <w:style w:type="paragraph" w:styleId="7">
    <w:name w:val="heading 7"/>
    <w:basedOn w:val="a"/>
    <w:next w:val="a"/>
    <w:qFormat/>
    <w:rsid w:val="0043639F"/>
    <w:pPr>
      <w:keepNext/>
      <w:keepLines/>
      <w:widowControl w:val="0"/>
      <w:tabs>
        <w:tab w:val="left" w:pos="284"/>
      </w:tabs>
      <w:ind w:left="851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43639F"/>
    <w:pPr>
      <w:keepNext/>
      <w:keepLines/>
      <w:widowControl w:val="0"/>
      <w:tabs>
        <w:tab w:val="left" w:pos="0"/>
      </w:tabs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43639F"/>
    <w:pPr>
      <w:keepNext/>
      <w:ind w:firstLine="851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3639F"/>
    <w:pPr>
      <w:ind w:firstLine="851"/>
    </w:pPr>
    <w:rPr>
      <w:sz w:val="24"/>
    </w:rPr>
  </w:style>
  <w:style w:type="paragraph" w:styleId="a4">
    <w:name w:val="Body Text"/>
    <w:basedOn w:val="a"/>
    <w:rsid w:val="0043639F"/>
    <w:pPr>
      <w:jc w:val="center"/>
    </w:pPr>
    <w:rPr>
      <w:sz w:val="24"/>
    </w:rPr>
  </w:style>
  <w:style w:type="paragraph" w:styleId="30">
    <w:name w:val="Body Text Indent 3"/>
    <w:basedOn w:val="a"/>
    <w:rsid w:val="0043639F"/>
    <w:pPr>
      <w:ind w:firstLine="851"/>
      <w:jc w:val="both"/>
    </w:pPr>
    <w:rPr>
      <w:sz w:val="24"/>
    </w:rPr>
  </w:style>
  <w:style w:type="paragraph" w:styleId="20">
    <w:name w:val="Body Text 2"/>
    <w:basedOn w:val="a"/>
    <w:rsid w:val="0043639F"/>
    <w:rPr>
      <w:sz w:val="24"/>
    </w:rPr>
  </w:style>
  <w:style w:type="paragraph" w:styleId="21">
    <w:name w:val="Body Text Indent 2"/>
    <w:basedOn w:val="a"/>
    <w:rsid w:val="0043639F"/>
    <w:pPr>
      <w:ind w:firstLine="709"/>
      <w:jc w:val="both"/>
    </w:pPr>
    <w:rPr>
      <w:sz w:val="24"/>
    </w:rPr>
  </w:style>
  <w:style w:type="paragraph" w:customStyle="1" w:styleId="10">
    <w:name w:val="Обычный1"/>
    <w:rsid w:val="0043639F"/>
    <w:pPr>
      <w:widowControl w:val="0"/>
      <w:spacing w:line="300" w:lineRule="auto"/>
      <w:ind w:left="40" w:firstLine="80"/>
    </w:pPr>
    <w:rPr>
      <w:rFonts w:ascii="Courier New" w:hAnsi="Courier New"/>
      <w:snapToGrid w:val="0"/>
      <w:sz w:val="16"/>
    </w:rPr>
  </w:style>
  <w:style w:type="paragraph" w:styleId="a5">
    <w:name w:val="footer"/>
    <w:basedOn w:val="a"/>
    <w:rsid w:val="0043639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3639F"/>
  </w:style>
  <w:style w:type="paragraph" w:styleId="31">
    <w:name w:val="Body Text 3"/>
    <w:basedOn w:val="a"/>
    <w:rsid w:val="0043639F"/>
    <w:pPr>
      <w:jc w:val="center"/>
    </w:pPr>
    <w:rPr>
      <w:sz w:val="24"/>
      <w:u w:val="single"/>
    </w:rPr>
  </w:style>
  <w:style w:type="paragraph" w:styleId="a7">
    <w:name w:val="header"/>
    <w:basedOn w:val="a"/>
    <w:rsid w:val="0043639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header" Target="header2.xm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6</vt:lpstr>
    </vt:vector>
  </TitlesOfParts>
  <Company>KNEU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6</dc:title>
  <dc:creator>23807</dc:creator>
  <cp:lastModifiedBy>Olia</cp:lastModifiedBy>
  <cp:revision>4</cp:revision>
  <cp:lastPrinted>2000-04-06T12:22:00Z</cp:lastPrinted>
  <dcterms:created xsi:type="dcterms:W3CDTF">2012-03-23T10:29:00Z</dcterms:created>
  <dcterms:modified xsi:type="dcterms:W3CDTF">2012-03-23T13:51:00Z</dcterms:modified>
</cp:coreProperties>
</file>